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FA5209" w14:paraId="6A580E8F" w14:textId="77777777" w:rsidTr="00143902">
        <w:tc>
          <w:tcPr>
            <w:tcW w:w="3396" w:type="dxa"/>
            <w:tcBorders>
              <w:top w:val="nil"/>
              <w:left w:val="nil"/>
              <w:bottom w:val="nil"/>
              <w:right w:val="nil"/>
            </w:tcBorders>
          </w:tcPr>
          <w:p w14:paraId="6752B0DD" w14:textId="0D79FB2C" w:rsidR="002B0FB8" w:rsidRPr="00FA5209" w:rsidRDefault="002B0FB8" w:rsidP="007E70EF">
            <w:pPr>
              <w:rPr>
                <w:sz w:val="28"/>
                <w:szCs w:val="28"/>
              </w:rPr>
            </w:pPr>
            <w:r w:rsidRPr="00FA5209">
              <w:rPr>
                <w:sz w:val="28"/>
                <w:szCs w:val="28"/>
              </w:rPr>
              <w:t>Приложение</w:t>
            </w:r>
            <w:r w:rsidR="00933081">
              <w:rPr>
                <w:sz w:val="28"/>
                <w:szCs w:val="28"/>
                <w:lang w:val="kk-KZ"/>
              </w:rPr>
              <w:t xml:space="preserve"> </w:t>
            </w:r>
            <w:r w:rsidRPr="00FA5209">
              <w:rPr>
                <w:sz w:val="28"/>
                <w:szCs w:val="28"/>
              </w:rPr>
              <w:t>к приказу</w:t>
            </w:r>
          </w:p>
        </w:tc>
      </w:tr>
    </w:tbl>
    <w:p w14:paraId="4F3382F4" w14:textId="0646F1EA" w:rsidR="0099366C" w:rsidRPr="00FA5209" w:rsidRDefault="0099366C" w:rsidP="00B5779B">
      <w:pPr>
        <w:jc w:val="center"/>
        <w:rPr>
          <w:b/>
          <w:sz w:val="28"/>
          <w:szCs w:val="28"/>
        </w:rPr>
      </w:pPr>
    </w:p>
    <w:p w14:paraId="01167FF5" w14:textId="77777777" w:rsidR="00143902" w:rsidRPr="00FA5209" w:rsidRDefault="00143902" w:rsidP="00143902">
      <w:pPr>
        <w:shd w:val="clear" w:color="auto" w:fill="FFFFFF"/>
        <w:ind w:left="6379"/>
        <w:jc w:val="center"/>
        <w:textAlignment w:val="baseline"/>
        <w:outlineLvl w:val="2"/>
        <w:rPr>
          <w:sz w:val="28"/>
          <w:szCs w:val="28"/>
        </w:rPr>
      </w:pPr>
    </w:p>
    <w:p w14:paraId="223B7095" w14:textId="3D429FB0" w:rsidR="008F5290" w:rsidRPr="00224E2D" w:rsidRDefault="008F5290" w:rsidP="006B58BB">
      <w:pPr>
        <w:pStyle w:val="af1"/>
        <w:shd w:val="clear" w:color="auto" w:fill="FFFFFF"/>
        <w:spacing w:before="0" w:beforeAutospacing="0" w:after="0" w:afterAutospacing="0"/>
        <w:jc w:val="center"/>
        <w:rPr>
          <w:b/>
          <w:bCs/>
          <w:sz w:val="28"/>
          <w:szCs w:val="28"/>
        </w:rPr>
      </w:pPr>
      <w:bookmarkStart w:id="0" w:name="_Hlk87025686"/>
      <w:r w:rsidRPr="00224E2D">
        <w:rPr>
          <w:rFonts w:eastAsiaTheme="minorHAnsi"/>
          <w:b/>
          <w:bCs/>
          <w:sz w:val="28"/>
          <w:szCs w:val="28"/>
          <w:bdr w:val="none" w:sz="0" w:space="0" w:color="auto" w:frame="1"/>
        </w:rPr>
        <w:t xml:space="preserve">Правила </w:t>
      </w:r>
      <w:r w:rsidR="006B58BB" w:rsidRPr="00224E2D">
        <w:rPr>
          <w:b/>
          <w:bCs/>
          <w:sz w:val="28"/>
          <w:szCs w:val="28"/>
        </w:rPr>
        <w:t>зачисления и (или) перечисления единым оператором в сфере государственных закупок в целях обеспечения сохранности денег с электронного кошелька потенциальных поставщиков и поставщиков</w:t>
      </w:r>
      <w:r w:rsidR="00224E2D" w:rsidRPr="00224E2D">
        <w:rPr>
          <w:b/>
          <w:bCs/>
          <w:sz w:val="28"/>
          <w:szCs w:val="28"/>
        </w:rPr>
        <w:t xml:space="preserve"> (контрольный счет наличности единого оператора в сфере государственных закупок)</w:t>
      </w:r>
      <w:r w:rsidR="006B58BB" w:rsidRPr="00224E2D">
        <w:rPr>
          <w:b/>
          <w:bCs/>
          <w:sz w:val="28"/>
          <w:szCs w:val="28"/>
        </w:rPr>
        <w:t xml:space="preserve"> </w:t>
      </w:r>
    </w:p>
    <w:p w14:paraId="00E2D1B4" w14:textId="1A4F50E5" w:rsidR="008F5290" w:rsidRPr="00224E2D" w:rsidRDefault="008F5290" w:rsidP="00545BAC">
      <w:pPr>
        <w:pStyle w:val="af1"/>
        <w:shd w:val="clear" w:color="auto" w:fill="FFFFFF"/>
        <w:spacing w:before="0" w:beforeAutospacing="0" w:after="0" w:afterAutospacing="0"/>
        <w:jc w:val="center"/>
        <w:rPr>
          <w:b/>
          <w:bCs/>
          <w:sz w:val="28"/>
          <w:szCs w:val="28"/>
        </w:rPr>
      </w:pPr>
      <w:r w:rsidRPr="00224E2D">
        <w:rPr>
          <w:b/>
          <w:bCs/>
          <w:sz w:val="28"/>
          <w:szCs w:val="28"/>
        </w:rPr>
        <w:t xml:space="preserve"> </w:t>
      </w:r>
      <w:bookmarkEnd w:id="0"/>
    </w:p>
    <w:p w14:paraId="18938F87" w14:textId="77777777" w:rsidR="008F5290" w:rsidRPr="00FA5209" w:rsidRDefault="008F5290" w:rsidP="008F5290">
      <w:pPr>
        <w:ind w:firstLine="720"/>
        <w:jc w:val="center"/>
        <w:rPr>
          <w:sz w:val="28"/>
          <w:szCs w:val="28"/>
        </w:rPr>
      </w:pPr>
    </w:p>
    <w:p w14:paraId="6FF5FD2A" w14:textId="77777777" w:rsidR="008F5290" w:rsidRPr="00FA5209" w:rsidRDefault="008F5290" w:rsidP="008F5290">
      <w:pPr>
        <w:ind w:firstLine="720"/>
        <w:jc w:val="center"/>
        <w:rPr>
          <w:b/>
          <w:bCs/>
          <w:sz w:val="28"/>
          <w:szCs w:val="28"/>
        </w:rPr>
      </w:pPr>
      <w:r w:rsidRPr="00FA5209">
        <w:rPr>
          <w:b/>
          <w:bCs/>
          <w:sz w:val="28"/>
          <w:szCs w:val="28"/>
        </w:rPr>
        <w:t>Глава 1. Общие положения</w:t>
      </w:r>
    </w:p>
    <w:p w14:paraId="4AFE38C5" w14:textId="77777777" w:rsidR="008F5290" w:rsidRPr="00FA5209" w:rsidRDefault="008F5290" w:rsidP="008F5290">
      <w:pPr>
        <w:ind w:firstLine="720"/>
        <w:jc w:val="center"/>
        <w:rPr>
          <w:sz w:val="28"/>
          <w:szCs w:val="28"/>
        </w:rPr>
      </w:pPr>
    </w:p>
    <w:p w14:paraId="15D4AD38" w14:textId="192797D1" w:rsidR="008F5290" w:rsidRPr="00FA5209" w:rsidRDefault="008F5290" w:rsidP="008F5290">
      <w:pPr>
        <w:pStyle w:val="af5"/>
        <w:numPr>
          <w:ilvl w:val="0"/>
          <w:numId w:val="2"/>
        </w:numPr>
        <w:tabs>
          <w:tab w:val="left" w:pos="1134"/>
        </w:tabs>
        <w:spacing w:after="0" w:line="240" w:lineRule="auto"/>
        <w:ind w:left="0" w:firstLine="709"/>
        <w:jc w:val="both"/>
        <w:rPr>
          <w:rFonts w:ascii="Times New Roman" w:hAnsi="Times New Roman"/>
          <w:sz w:val="28"/>
          <w:szCs w:val="28"/>
        </w:rPr>
      </w:pPr>
      <w:r w:rsidRPr="00FA5209">
        <w:rPr>
          <w:rFonts w:ascii="Times New Roman" w:eastAsia="Times New Roman" w:hAnsi="Times New Roman"/>
          <w:sz w:val="28"/>
          <w:szCs w:val="28"/>
          <w:lang w:eastAsia="ru-RU"/>
        </w:rPr>
        <w:t xml:space="preserve">Настоящие Правила применения электронного кошелька </w:t>
      </w:r>
      <w:r w:rsidRPr="00FA5209">
        <w:rPr>
          <w:rFonts w:ascii="Times New Roman" w:eastAsia="Times New Roman" w:hAnsi="Times New Roman"/>
          <w:sz w:val="28"/>
          <w:szCs w:val="28"/>
          <w:lang w:eastAsia="ru-RU"/>
        </w:rPr>
        <w:br/>
        <w:t xml:space="preserve">в государственных закупках разработаны в соответствии с </w:t>
      </w:r>
      <w:r w:rsidRPr="00FA5209">
        <w:rPr>
          <w:rFonts w:ascii="Times New Roman" w:hAnsi="Times New Roman"/>
          <w:sz w:val="28"/>
          <w:szCs w:val="28"/>
        </w:rPr>
        <w:t xml:space="preserve">подпунктом </w:t>
      </w:r>
      <w:r w:rsidRPr="00FA5209">
        <w:rPr>
          <w:rFonts w:ascii="Times New Roman" w:hAnsi="Times New Roman"/>
          <w:sz w:val="28"/>
          <w:szCs w:val="28"/>
        </w:rPr>
        <w:br/>
        <w:t>22) пункта 3 статьи 106 Бюджетного кодекса Республики Казахстан</w:t>
      </w:r>
      <w:r w:rsidRPr="00FA5209">
        <w:rPr>
          <w:rFonts w:ascii="Times New Roman" w:eastAsia="Times New Roman" w:hAnsi="Times New Roman"/>
          <w:sz w:val="28"/>
          <w:szCs w:val="28"/>
          <w:lang w:eastAsia="ru-RU"/>
        </w:rPr>
        <w:t xml:space="preserve"> </w:t>
      </w:r>
      <w:r w:rsidRPr="00FA5209">
        <w:rPr>
          <w:rFonts w:ascii="Times New Roman" w:eastAsia="Times New Roman" w:hAnsi="Times New Roman"/>
          <w:sz w:val="28"/>
          <w:szCs w:val="28"/>
          <w:lang w:eastAsia="ru-RU"/>
        </w:rPr>
        <w:br/>
        <w:t xml:space="preserve">в целях </w:t>
      </w:r>
      <w:r w:rsidR="0026048B" w:rsidRPr="00FA5209">
        <w:rPr>
          <w:rFonts w:ascii="Times New Roman" w:hAnsi="Times New Roman"/>
          <w:sz w:val="28"/>
          <w:szCs w:val="28"/>
        </w:rPr>
        <w:t>зачисления и (или) перечисления единым оператором в сфере государственных закупок в целях обеспечения сохранности денег с электронного кошелька потенциальных поставщиков и поставщиков в порядке, определенном уполномоченным органом в сфере государственных</w:t>
      </w:r>
      <w:r w:rsidR="008C137B" w:rsidRPr="00FA5209">
        <w:rPr>
          <w:rFonts w:ascii="Times New Roman" w:hAnsi="Times New Roman"/>
          <w:sz w:val="28"/>
          <w:szCs w:val="28"/>
        </w:rPr>
        <w:t xml:space="preserve"> </w:t>
      </w:r>
      <w:r w:rsidRPr="00FA5209">
        <w:rPr>
          <w:rFonts w:ascii="Times New Roman" w:eastAsia="Times New Roman" w:hAnsi="Times New Roman"/>
          <w:sz w:val="28"/>
          <w:szCs w:val="28"/>
          <w:lang w:eastAsia="ru-RU"/>
        </w:rPr>
        <w:t>(далее – П</w:t>
      </w:r>
      <w:r w:rsidR="0026048B" w:rsidRPr="00FA5209">
        <w:rPr>
          <w:rFonts w:ascii="Times New Roman" w:eastAsia="Times New Roman" w:hAnsi="Times New Roman"/>
          <w:sz w:val="28"/>
          <w:szCs w:val="28"/>
          <w:lang w:eastAsia="ru-RU"/>
        </w:rPr>
        <w:t>равила</w:t>
      </w:r>
      <w:r w:rsidRPr="00FA5209">
        <w:rPr>
          <w:rFonts w:ascii="Times New Roman" w:eastAsia="Times New Roman" w:hAnsi="Times New Roman"/>
          <w:sz w:val="28"/>
          <w:szCs w:val="28"/>
          <w:lang w:eastAsia="ru-RU"/>
        </w:rPr>
        <w:t>).</w:t>
      </w:r>
    </w:p>
    <w:p w14:paraId="1B05F40B" w14:textId="02D84D9F" w:rsidR="008F5290" w:rsidRPr="00FA5209" w:rsidRDefault="008F5290" w:rsidP="008F5290">
      <w:pPr>
        <w:pStyle w:val="ab"/>
        <w:numPr>
          <w:ilvl w:val="0"/>
          <w:numId w:val="2"/>
        </w:numPr>
        <w:tabs>
          <w:tab w:val="left" w:pos="1134"/>
        </w:tabs>
        <w:ind w:left="0" w:firstLine="709"/>
        <w:jc w:val="both"/>
        <w:rPr>
          <w:rFonts w:ascii="Times New Roman" w:hAnsi="Times New Roman"/>
          <w:sz w:val="28"/>
          <w:szCs w:val="28"/>
        </w:rPr>
      </w:pPr>
      <w:r w:rsidRPr="00FA5209">
        <w:rPr>
          <w:rFonts w:ascii="Times New Roman" w:hAnsi="Times New Roman"/>
          <w:sz w:val="28"/>
          <w:szCs w:val="28"/>
        </w:rPr>
        <w:t>В настоящ</w:t>
      </w:r>
      <w:r w:rsidR="002D4515" w:rsidRPr="00FA5209">
        <w:rPr>
          <w:rFonts w:ascii="Times New Roman" w:hAnsi="Times New Roman"/>
          <w:sz w:val="28"/>
          <w:szCs w:val="28"/>
        </w:rPr>
        <w:t>их</w:t>
      </w:r>
      <w:r w:rsidRPr="00FA5209">
        <w:rPr>
          <w:rFonts w:ascii="Times New Roman" w:hAnsi="Times New Roman"/>
          <w:sz w:val="28"/>
          <w:szCs w:val="28"/>
        </w:rPr>
        <w:t xml:space="preserve"> П</w:t>
      </w:r>
      <w:r w:rsidR="002D4515" w:rsidRPr="00FA5209">
        <w:rPr>
          <w:rFonts w:ascii="Times New Roman" w:hAnsi="Times New Roman"/>
          <w:sz w:val="28"/>
          <w:szCs w:val="28"/>
        </w:rPr>
        <w:t>равилах</w:t>
      </w:r>
      <w:r w:rsidRPr="00FA5209">
        <w:rPr>
          <w:rFonts w:ascii="Times New Roman" w:hAnsi="Times New Roman"/>
          <w:sz w:val="28"/>
          <w:szCs w:val="28"/>
        </w:rPr>
        <w:t xml:space="preserve"> используются следующие понятия:</w:t>
      </w:r>
    </w:p>
    <w:p w14:paraId="4E701466" w14:textId="77777777" w:rsidR="008F5290" w:rsidRPr="00FA5209" w:rsidRDefault="008F5290" w:rsidP="008F5290">
      <w:pPr>
        <w:pStyle w:val="ab"/>
        <w:numPr>
          <w:ilvl w:val="0"/>
          <w:numId w:val="4"/>
        </w:numPr>
        <w:tabs>
          <w:tab w:val="left" w:pos="1134"/>
        </w:tabs>
        <w:ind w:left="0" w:firstLine="709"/>
        <w:jc w:val="both"/>
        <w:rPr>
          <w:rFonts w:ascii="Times New Roman" w:hAnsi="Times New Roman"/>
          <w:sz w:val="28"/>
          <w:szCs w:val="28"/>
        </w:rPr>
      </w:pPr>
      <w:r w:rsidRPr="00FA5209">
        <w:rPr>
          <w:rFonts w:ascii="Times New Roman" w:hAnsi="Times New Roman"/>
          <w:sz w:val="28"/>
          <w:szCs w:val="28"/>
        </w:rPr>
        <w:t>контрольный счет наличности единого оператора в сфере государственных закупок – счет, открытый в государственном казначействе предназначенные для учета операций, связанных с зачислением и (или) перечислением единым оператором в сфере государственных закупок в целях обеспечения сохранности денег потенциальных поставщиков и поставщиков, внесенных в электронный кошелек;</w:t>
      </w:r>
    </w:p>
    <w:p w14:paraId="3CCB750E" w14:textId="041A1320" w:rsidR="008F5290" w:rsidRPr="00FA5209" w:rsidRDefault="008F5290" w:rsidP="008F5290">
      <w:pPr>
        <w:pStyle w:val="ab"/>
        <w:numPr>
          <w:ilvl w:val="0"/>
          <w:numId w:val="4"/>
        </w:numPr>
        <w:tabs>
          <w:tab w:val="left" w:pos="1134"/>
        </w:tabs>
        <w:ind w:left="0" w:firstLine="709"/>
        <w:jc w:val="both"/>
        <w:rPr>
          <w:rFonts w:ascii="Times New Roman" w:hAnsi="Times New Roman"/>
          <w:sz w:val="28"/>
          <w:szCs w:val="28"/>
        </w:rPr>
      </w:pPr>
      <w:r w:rsidRPr="00FA5209">
        <w:rPr>
          <w:rFonts w:ascii="Times New Roman" w:hAnsi="Times New Roman"/>
          <w:sz w:val="28"/>
          <w:szCs w:val="28"/>
        </w:rPr>
        <w:t>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временное объединение юридических лиц (консорциум), претендующие на заключение договора о государственных закупках, а также физическое лицо, не являющееся субъектом предпринимательской деятельности, в случаях, предусмотренных Законом</w:t>
      </w:r>
      <w:r w:rsidR="00305095" w:rsidRPr="00305095">
        <w:rPr>
          <w:rFonts w:ascii="Times New Roman" w:hAnsi="Times New Roman"/>
          <w:sz w:val="28"/>
          <w:szCs w:val="28"/>
        </w:rPr>
        <w:t xml:space="preserve"> </w:t>
      </w:r>
      <w:r w:rsidR="00305095" w:rsidRPr="00FA5209">
        <w:rPr>
          <w:rFonts w:ascii="Times New Roman" w:eastAsia="Times New Roman" w:hAnsi="Times New Roman"/>
          <w:sz w:val="28"/>
          <w:szCs w:val="28"/>
          <w:lang w:eastAsia="ru-RU"/>
        </w:rPr>
        <w:t xml:space="preserve">Республики Казахстан </w:t>
      </w:r>
      <w:r w:rsidR="00305095" w:rsidRPr="00FA5209">
        <w:rPr>
          <w:rFonts w:ascii="Times New Roman" w:eastAsia="Times New Roman" w:hAnsi="Times New Roman"/>
          <w:sz w:val="28"/>
          <w:szCs w:val="28"/>
          <w:lang w:eastAsia="ru-RU"/>
        </w:rPr>
        <w:br/>
        <w:t>«О государственных закупках» (далее – Закон)</w:t>
      </w:r>
      <w:r w:rsidRPr="00FA5209">
        <w:rPr>
          <w:rFonts w:ascii="Times New Roman" w:hAnsi="Times New Roman"/>
          <w:sz w:val="28"/>
          <w:szCs w:val="28"/>
        </w:rPr>
        <w:t>;</w:t>
      </w:r>
    </w:p>
    <w:p w14:paraId="6456786B" w14:textId="77777777" w:rsidR="008F5290" w:rsidRPr="00FA5209" w:rsidRDefault="008F5290" w:rsidP="008F5290">
      <w:pPr>
        <w:pStyle w:val="ab"/>
        <w:numPr>
          <w:ilvl w:val="0"/>
          <w:numId w:val="4"/>
        </w:numPr>
        <w:tabs>
          <w:tab w:val="left" w:pos="1134"/>
        </w:tabs>
        <w:ind w:left="0" w:firstLine="709"/>
        <w:jc w:val="both"/>
        <w:rPr>
          <w:rFonts w:ascii="Times New Roman" w:hAnsi="Times New Roman"/>
          <w:sz w:val="28"/>
          <w:szCs w:val="28"/>
        </w:rPr>
      </w:pPr>
      <w:r w:rsidRPr="00FA5209">
        <w:rPr>
          <w:rFonts w:ascii="Times New Roman" w:hAnsi="Times New Roman"/>
          <w:sz w:val="28"/>
          <w:szCs w:val="28"/>
        </w:rPr>
        <w:t>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временное объединение юридических лиц (консорциум), выступающие в качестве стороны в заключенном с заказчиком договоре, а также физическое лицо, не являющееся субъектом предпринимательской деятельности, в случаях, предусмотренных Законом;</w:t>
      </w:r>
    </w:p>
    <w:p w14:paraId="64569502" w14:textId="77777777" w:rsidR="008F5290" w:rsidRPr="00FA5209" w:rsidRDefault="008F5290" w:rsidP="008F5290">
      <w:pPr>
        <w:pStyle w:val="ab"/>
        <w:tabs>
          <w:tab w:val="left" w:pos="1134"/>
        </w:tabs>
        <w:ind w:firstLine="709"/>
        <w:jc w:val="both"/>
        <w:rPr>
          <w:rFonts w:ascii="Times New Roman" w:hAnsi="Times New Roman"/>
          <w:sz w:val="28"/>
          <w:szCs w:val="28"/>
        </w:rPr>
      </w:pPr>
      <w:r w:rsidRPr="00FA5209">
        <w:rPr>
          <w:rFonts w:ascii="Times New Roman" w:hAnsi="Times New Roman"/>
          <w:sz w:val="28"/>
          <w:szCs w:val="28"/>
        </w:rPr>
        <w:t xml:space="preserve">2) единая платформа закупок (далее – веб-портал) – информационная система уполномоченного органа в сфере государственных закупок, </w:t>
      </w:r>
      <w:r w:rsidRPr="00FA5209">
        <w:rPr>
          <w:rFonts w:ascii="Times New Roman" w:hAnsi="Times New Roman"/>
          <w:sz w:val="28"/>
          <w:szCs w:val="28"/>
        </w:rPr>
        <w:lastRenderedPageBreak/>
        <w:t xml:space="preserve">предоставляющая единую точку доступа к электронным услугам государственных закупок и закупок, осуществляемых в соответствии с </w:t>
      </w:r>
      <w:hyperlink r:id="rId8" w:anchor="z4" w:history="1">
        <w:r w:rsidRPr="00FA5209">
          <w:rPr>
            <w:rFonts w:ascii="Times New Roman" w:hAnsi="Times New Roman"/>
            <w:sz w:val="28"/>
            <w:szCs w:val="28"/>
          </w:rPr>
          <w:t>Законом</w:t>
        </w:r>
      </w:hyperlink>
      <w:r w:rsidRPr="00FA5209">
        <w:rPr>
          <w:rFonts w:ascii="Times New Roman" w:hAnsi="Times New Roman"/>
          <w:sz w:val="28"/>
          <w:szCs w:val="28"/>
        </w:rPr>
        <w:t xml:space="preserve"> Республики Казахстан «О закупках отдельных субъектов </w:t>
      </w:r>
      <w:proofErr w:type="spellStart"/>
      <w:r w:rsidRPr="00FA5209">
        <w:rPr>
          <w:rFonts w:ascii="Times New Roman" w:hAnsi="Times New Roman"/>
          <w:sz w:val="28"/>
          <w:szCs w:val="28"/>
        </w:rPr>
        <w:t>квазигосударственного</w:t>
      </w:r>
      <w:proofErr w:type="spellEnd"/>
      <w:r w:rsidRPr="00FA5209">
        <w:rPr>
          <w:rFonts w:ascii="Times New Roman" w:hAnsi="Times New Roman"/>
          <w:sz w:val="28"/>
          <w:szCs w:val="28"/>
        </w:rPr>
        <w:t xml:space="preserve"> сектора»;</w:t>
      </w:r>
    </w:p>
    <w:p w14:paraId="689F5C65" w14:textId="77777777" w:rsidR="008F5290" w:rsidRPr="00FA5209" w:rsidRDefault="008F5290" w:rsidP="008F5290">
      <w:pPr>
        <w:pStyle w:val="ab"/>
        <w:tabs>
          <w:tab w:val="left" w:pos="1134"/>
        </w:tabs>
        <w:ind w:firstLine="709"/>
        <w:jc w:val="both"/>
        <w:rPr>
          <w:rFonts w:ascii="Times New Roman" w:hAnsi="Times New Roman"/>
          <w:sz w:val="28"/>
          <w:szCs w:val="28"/>
        </w:rPr>
      </w:pPr>
      <w:r w:rsidRPr="00FA5209">
        <w:rPr>
          <w:rFonts w:ascii="Times New Roman" w:hAnsi="Times New Roman"/>
          <w:color w:val="000000"/>
          <w:spacing w:val="2"/>
          <w:sz w:val="28"/>
          <w:szCs w:val="28"/>
          <w:shd w:val="clear" w:color="auto" w:fill="FFFFFF"/>
        </w:rPr>
        <w:t xml:space="preserve">3) </w:t>
      </w:r>
      <w:r w:rsidRPr="00FA5209">
        <w:rPr>
          <w:rFonts w:ascii="Times New Roman" w:hAnsi="Times New Roman"/>
          <w:sz w:val="28"/>
          <w:szCs w:val="28"/>
        </w:rPr>
        <w:t xml:space="preserve">единый оператор в сфере государственных закупок (далее – единый оператор) – юридическое лицо, определенное уполномоченным органом в сфере государственных закупок, единственным собственником акций (долей участия </w:t>
      </w:r>
      <w:r w:rsidRPr="00FA5209">
        <w:rPr>
          <w:rFonts w:ascii="Times New Roman" w:hAnsi="Times New Roman"/>
          <w:sz w:val="28"/>
          <w:szCs w:val="28"/>
        </w:rPr>
        <w:br/>
        <w:t>в уставном капитале) которого является государство;</w:t>
      </w:r>
    </w:p>
    <w:p w14:paraId="44A87365" w14:textId="77777777" w:rsidR="008F5290" w:rsidRPr="00FA5209" w:rsidRDefault="008F5290" w:rsidP="008F5290">
      <w:pPr>
        <w:pStyle w:val="ab"/>
        <w:tabs>
          <w:tab w:val="left" w:pos="1134"/>
        </w:tabs>
        <w:ind w:firstLine="709"/>
        <w:jc w:val="both"/>
        <w:rPr>
          <w:rFonts w:ascii="Times New Roman" w:hAnsi="Times New Roman"/>
          <w:sz w:val="28"/>
          <w:szCs w:val="28"/>
        </w:rPr>
      </w:pPr>
      <w:r w:rsidRPr="00FA5209">
        <w:rPr>
          <w:rFonts w:ascii="Times New Roman" w:hAnsi="Times New Roman"/>
          <w:sz w:val="28"/>
          <w:szCs w:val="28"/>
        </w:rPr>
        <w:t xml:space="preserve">4) </w:t>
      </w:r>
      <w:r w:rsidRPr="003E2256">
        <w:rPr>
          <w:rFonts w:ascii="Times New Roman" w:hAnsi="Times New Roman"/>
          <w:sz w:val="28"/>
          <w:szCs w:val="28"/>
        </w:rPr>
        <w:t>счет единого</w:t>
      </w:r>
      <w:r w:rsidRPr="00FA5209">
        <w:rPr>
          <w:rFonts w:ascii="Times New Roman" w:hAnsi="Times New Roman"/>
          <w:sz w:val="28"/>
          <w:szCs w:val="28"/>
        </w:rPr>
        <w:t xml:space="preserve"> оператора в сфере государственных закупок, открытый </w:t>
      </w:r>
      <w:r w:rsidRPr="00FA5209">
        <w:rPr>
          <w:rFonts w:ascii="Times New Roman" w:hAnsi="Times New Roman"/>
          <w:sz w:val="28"/>
          <w:szCs w:val="28"/>
        </w:rPr>
        <w:br/>
        <w:t xml:space="preserve">в банках второго уровня (далее – счет, открытый в БВУ) – это банковский счет, предназначенный для пополнения потенциальными поставщиками </w:t>
      </w:r>
      <w:r w:rsidRPr="00FA5209">
        <w:rPr>
          <w:rFonts w:ascii="Times New Roman" w:hAnsi="Times New Roman"/>
          <w:sz w:val="28"/>
          <w:szCs w:val="28"/>
        </w:rPr>
        <w:br/>
        <w:t>и поставщиками электронного кошелька;</w:t>
      </w:r>
    </w:p>
    <w:p w14:paraId="0D5FC854" w14:textId="77777777" w:rsidR="008F5290" w:rsidRPr="00FA5209" w:rsidRDefault="008F5290" w:rsidP="008F5290">
      <w:pPr>
        <w:pStyle w:val="ab"/>
        <w:tabs>
          <w:tab w:val="left" w:pos="1134"/>
        </w:tabs>
        <w:ind w:firstLine="709"/>
        <w:jc w:val="both"/>
        <w:rPr>
          <w:rFonts w:ascii="Times New Roman" w:hAnsi="Times New Roman"/>
          <w:sz w:val="28"/>
          <w:szCs w:val="28"/>
        </w:rPr>
      </w:pPr>
      <w:r w:rsidRPr="00FA5209">
        <w:rPr>
          <w:rFonts w:ascii="Times New Roman" w:hAnsi="Times New Roman"/>
          <w:sz w:val="28"/>
          <w:szCs w:val="28"/>
        </w:rPr>
        <w:t>5) электронный кошелек – лицевой счет потенциального поставщика или поставщика, используемый единым оператором для отражения операций потенциального поставщика или поставщика при внесении им денег на счет единого оператора, связанных с:</w:t>
      </w:r>
    </w:p>
    <w:p w14:paraId="2E9501CD" w14:textId="77777777" w:rsidR="008F5290" w:rsidRPr="00FA5209" w:rsidRDefault="008F5290" w:rsidP="008F5290">
      <w:pPr>
        <w:pStyle w:val="af1"/>
        <w:spacing w:before="0" w:beforeAutospacing="0" w:after="0" w:afterAutospacing="0"/>
        <w:ind w:firstLine="709"/>
        <w:rPr>
          <w:sz w:val="28"/>
          <w:szCs w:val="28"/>
        </w:rPr>
      </w:pPr>
      <w:r w:rsidRPr="00FA5209">
        <w:rPr>
          <w:sz w:val="28"/>
          <w:szCs w:val="28"/>
        </w:rPr>
        <w:t>обеспечением заявок на участие в государственных закупках;</w:t>
      </w:r>
    </w:p>
    <w:p w14:paraId="2572F3A9" w14:textId="77777777" w:rsidR="008F5290" w:rsidRPr="00FA5209" w:rsidRDefault="008F5290" w:rsidP="008F5290">
      <w:pPr>
        <w:pStyle w:val="af1"/>
        <w:spacing w:before="0" w:beforeAutospacing="0" w:after="0" w:afterAutospacing="0"/>
        <w:ind w:firstLine="709"/>
        <w:rPr>
          <w:sz w:val="28"/>
          <w:szCs w:val="28"/>
        </w:rPr>
      </w:pPr>
      <w:r w:rsidRPr="00FA5209">
        <w:rPr>
          <w:sz w:val="28"/>
          <w:szCs w:val="28"/>
        </w:rPr>
        <w:t>обеспечением исполнения договора;</w:t>
      </w:r>
    </w:p>
    <w:p w14:paraId="45FA5A3C" w14:textId="77777777" w:rsidR="008F5290" w:rsidRPr="00FA5209" w:rsidRDefault="008F5290" w:rsidP="008F5290">
      <w:pPr>
        <w:pStyle w:val="af1"/>
        <w:spacing w:before="0" w:beforeAutospacing="0" w:after="0" w:afterAutospacing="0"/>
        <w:ind w:firstLine="709"/>
        <w:rPr>
          <w:sz w:val="28"/>
          <w:szCs w:val="28"/>
        </w:rPr>
      </w:pPr>
      <w:r w:rsidRPr="00FA5209">
        <w:rPr>
          <w:sz w:val="28"/>
          <w:szCs w:val="28"/>
        </w:rPr>
        <w:t>обеспечением аванса (в случае, если договором предусмотрен аванс);</w:t>
      </w:r>
    </w:p>
    <w:p w14:paraId="30648059" w14:textId="4DF3DC1E" w:rsidR="008F5290" w:rsidRDefault="008F5290" w:rsidP="008F5290">
      <w:pPr>
        <w:pStyle w:val="af1"/>
        <w:spacing w:before="0" w:beforeAutospacing="0" w:after="0" w:afterAutospacing="0"/>
        <w:ind w:firstLine="709"/>
        <w:rPr>
          <w:sz w:val="28"/>
          <w:szCs w:val="28"/>
          <w:lang w:val="kk-KZ"/>
        </w:rPr>
      </w:pPr>
      <w:r w:rsidRPr="00FA5209">
        <w:rPr>
          <w:sz w:val="28"/>
          <w:szCs w:val="28"/>
        </w:rPr>
        <w:t>внесением антидемпинговой суммы</w:t>
      </w:r>
      <w:r w:rsidR="00076E37">
        <w:rPr>
          <w:sz w:val="28"/>
          <w:szCs w:val="28"/>
          <w:lang w:val="kk-KZ"/>
        </w:rPr>
        <w:t>;</w:t>
      </w:r>
    </w:p>
    <w:p w14:paraId="1F505BE5" w14:textId="24A00240" w:rsidR="00076E37" w:rsidRPr="00076E37" w:rsidRDefault="00076E37" w:rsidP="00076E37">
      <w:pPr>
        <w:pStyle w:val="af1"/>
        <w:spacing w:before="0" w:beforeAutospacing="0" w:after="0" w:afterAutospacing="0"/>
        <w:ind w:firstLine="709"/>
        <w:jc w:val="both"/>
        <w:rPr>
          <w:sz w:val="28"/>
          <w:szCs w:val="28"/>
          <w:lang w:val="kk-KZ"/>
        </w:rPr>
      </w:pPr>
      <w:r w:rsidRPr="00076E37">
        <w:rPr>
          <w:sz w:val="28"/>
          <w:szCs w:val="28"/>
          <w:lang w:val="kk-KZ"/>
        </w:rPr>
        <w:t xml:space="preserve">6) </w:t>
      </w:r>
      <w:r w:rsidRPr="00076E37">
        <w:rPr>
          <w:sz w:val="28"/>
          <w:szCs w:val="28"/>
        </w:rPr>
        <w:t>органы государственного казначейства – территориальные подразделения</w:t>
      </w:r>
      <w:r w:rsidRPr="00076E37">
        <w:rPr>
          <w:sz w:val="28"/>
          <w:szCs w:val="28"/>
          <w:lang w:val="kk-KZ"/>
        </w:rPr>
        <w:t xml:space="preserve"> </w:t>
      </w:r>
      <w:r w:rsidRPr="00076E37">
        <w:rPr>
          <w:sz w:val="28"/>
          <w:szCs w:val="28"/>
        </w:rPr>
        <w:t>ведомств</w:t>
      </w:r>
      <w:r w:rsidR="00D421C9">
        <w:rPr>
          <w:sz w:val="28"/>
          <w:szCs w:val="28"/>
          <w:lang w:val="kk-KZ"/>
        </w:rPr>
        <w:t>а</w:t>
      </w:r>
      <w:r w:rsidRPr="00076E37">
        <w:rPr>
          <w:sz w:val="28"/>
          <w:szCs w:val="28"/>
        </w:rPr>
        <w:t xml:space="preserve"> центрального исполнительного органа по исполнению бюджета, на которое возложены функции уполномоченного органа по казначейскому исполнению бюджета</w:t>
      </w:r>
      <w:r w:rsidRPr="00076E37">
        <w:rPr>
          <w:sz w:val="28"/>
          <w:szCs w:val="28"/>
          <w:lang w:val="kk-KZ"/>
        </w:rPr>
        <w:t>.</w:t>
      </w:r>
    </w:p>
    <w:p w14:paraId="1A9C93ED" w14:textId="59E93A64" w:rsidR="008F5290" w:rsidRPr="0021631E" w:rsidRDefault="008F5290" w:rsidP="008F5290">
      <w:pPr>
        <w:pStyle w:val="ab"/>
        <w:tabs>
          <w:tab w:val="left" w:pos="1134"/>
        </w:tabs>
        <w:ind w:firstLine="709"/>
        <w:jc w:val="both"/>
        <w:rPr>
          <w:rFonts w:ascii="Times New Roman" w:hAnsi="Times New Roman"/>
          <w:color w:val="000000"/>
          <w:spacing w:val="2"/>
          <w:sz w:val="28"/>
          <w:szCs w:val="28"/>
          <w:shd w:val="clear" w:color="auto" w:fill="FFFFFF"/>
        </w:rPr>
      </w:pPr>
      <w:r w:rsidRPr="0021631E">
        <w:rPr>
          <w:rFonts w:ascii="Times New Roman" w:hAnsi="Times New Roman"/>
          <w:color w:val="000000"/>
          <w:spacing w:val="2"/>
          <w:sz w:val="28"/>
          <w:szCs w:val="28"/>
          <w:shd w:val="clear" w:color="auto" w:fill="FFFFFF"/>
        </w:rPr>
        <w:t>3. Иные понятия, используемые в настоящ</w:t>
      </w:r>
      <w:r w:rsidR="009E1175" w:rsidRPr="0021631E">
        <w:rPr>
          <w:rFonts w:ascii="Times New Roman" w:hAnsi="Times New Roman"/>
          <w:color w:val="000000"/>
          <w:spacing w:val="2"/>
          <w:sz w:val="28"/>
          <w:szCs w:val="28"/>
          <w:shd w:val="clear" w:color="auto" w:fill="FFFFFF"/>
        </w:rPr>
        <w:t>их</w:t>
      </w:r>
      <w:r w:rsidRPr="0021631E">
        <w:rPr>
          <w:rFonts w:ascii="Times New Roman" w:hAnsi="Times New Roman"/>
          <w:color w:val="000000"/>
          <w:spacing w:val="2"/>
          <w:sz w:val="28"/>
          <w:szCs w:val="28"/>
          <w:shd w:val="clear" w:color="auto" w:fill="FFFFFF"/>
        </w:rPr>
        <w:t xml:space="preserve"> П</w:t>
      </w:r>
      <w:r w:rsidR="009E1175" w:rsidRPr="0021631E">
        <w:rPr>
          <w:rFonts w:ascii="Times New Roman" w:hAnsi="Times New Roman"/>
          <w:color w:val="000000"/>
          <w:spacing w:val="2"/>
          <w:sz w:val="28"/>
          <w:szCs w:val="28"/>
          <w:shd w:val="clear" w:color="auto" w:fill="FFFFFF"/>
        </w:rPr>
        <w:t>равилах</w:t>
      </w:r>
      <w:r w:rsidRPr="0021631E">
        <w:rPr>
          <w:rFonts w:ascii="Times New Roman" w:hAnsi="Times New Roman"/>
          <w:color w:val="000000"/>
          <w:spacing w:val="2"/>
          <w:sz w:val="28"/>
          <w:szCs w:val="28"/>
          <w:shd w:val="clear" w:color="auto" w:fill="FFFFFF"/>
        </w:rPr>
        <w:t xml:space="preserve">, применяются </w:t>
      </w:r>
      <w:r w:rsidRPr="0021631E">
        <w:rPr>
          <w:rFonts w:ascii="Times New Roman" w:hAnsi="Times New Roman"/>
          <w:color w:val="000000"/>
          <w:spacing w:val="2"/>
          <w:sz w:val="28"/>
          <w:szCs w:val="28"/>
          <w:shd w:val="clear" w:color="auto" w:fill="FFFFFF"/>
        </w:rPr>
        <w:br/>
        <w:t>в соответствии с действующим законодательством Республики Казахстан.</w:t>
      </w:r>
    </w:p>
    <w:p w14:paraId="03E3AA6B" w14:textId="77777777" w:rsidR="008F5290" w:rsidRPr="00FA5209" w:rsidRDefault="008F5290" w:rsidP="008F5290">
      <w:pPr>
        <w:pStyle w:val="ab"/>
        <w:tabs>
          <w:tab w:val="left" w:pos="1134"/>
        </w:tabs>
        <w:ind w:firstLine="709"/>
        <w:jc w:val="both"/>
        <w:rPr>
          <w:rFonts w:ascii="Times New Roman" w:hAnsi="Times New Roman"/>
          <w:color w:val="000000"/>
          <w:spacing w:val="2"/>
          <w:sz w:val="28"/>
          <w:szCs w:val="28"/>
          <w:shd w:val="clear" w:color="auto" w:fill="FFFFFF"/>
        </w:rPr>
      </w:pPr>
    </w:p>
    <w:p w14:paraId="500D6AA4" w14:textId="77777777" w:rsidR="008F5290" w:rsidRPr="00FA5209" w:rsidRDefault="008F5290" w:rsidP="008F5290">
      <w:pPr>
        <w:pStyle w:val="ab"/>
        <w:tabs>
          <w:tab w:val="left" w:pos="1134"/>
        </w:tabs>
        <w:ind w:firstLine="709"/>
        <w:jc w:val="both"/>
        <w:rPr>
          <w:rFonts w:ascii="Times New Roman" w:hAnsi="Times New Roman"/>
          <w:color w:val="000000"/>
          <w:spacing w:val="2"/>
          <w:sz w:val="28"/>
          <w:szCs w:val="28"/>
          <w:shd w:val="clear" w:color="auto" w:fill="FFFFFF"/>
        </w:rPr>
      </w:pPr>
    </w:p>
    <w:p w14:paraId="2DC0F005" w14:textId="77777777" w:rsidR="008F5290" w:rsidRPr="00FA5209" w:rsidRDefault="008F5290" w:rsidP="008F5290">
      <w:pPr>
        <w:pStyle w:val="ab"/>
        <w:tabs>
          <w:tab w:val="left" w:pos="1134"/>
        </w:tabs>
        <w:ind w:firstLine="709"/>
        <w:jc w:val="center"/>
        <w:rPr>
          <w:rFonts w:ascii="Times New Roman" w:hAnsi="Times New Roman"/>
          <w:b/>
          <w:bCs/>
          <w:sz w:val="28"/>
          <w:szCs w:val="28"/>
        </w:rPr>
      </w:pPr>
      <w:r w:rsidRPr="00FA5209">
        <w:rPr>
          <w:rFonts w:ascii="Times New Roman" w:hAnsi="Times New Roman"/>
          <w:b/>
          <w:bCs/>
          <w:sz w:val="28"/>
          <w:szCs w:val="28"/>
        </w:rPr>
        <w:t>Глава 2. Порядок зачисления денег на электронный кошелек</w:t>
      </w:r>
    </w:p>
    <w:p w14:paraId="5DC4AC82" w14:textId="77777777" w:rsidR="008F5290" w:rsidRPr="00FA5209" w:rsidRDefault="008F5290" w:rsidP="008F5290">
      <w:pPr>
        <w:pStyle w:val="ab"/>
        <w:tabs>
          <w:tab w:val="left" w:pos="1134"/>
        </w:tabs>
        <w:ind w:left="1211" w:firstLine="709"/>
        <w:jc w:val="both"/>
        <w:rPr>
          <w:rFonts w:ascii="Times New Roman" w:hAnsi="Times New Roman"/>
          <w:sz w:val="28"/>
          <w:szCs w:val="28"/>
        </w:rPr>
      </w:pPr>
    </w:p>
    <w:p w14:paraId="5D1AD602" w14:textId="77777777" w:rsidR="008F5290" w:rsidRPr="00FA5209" w:rsidRDefault="008F5290" w:rsidP="008F5290">
      <w:pPr>
        <w:pStyle w:val="ab"/>
        <w:tabs>
          <w:tab w:val="left" w:pos="1134"/>
        </w:tabs>
        <w:ind w:firstLine="709"/>
        <w:jc w:val="both"/>
        <w:rPr>
          <w:rFonts w:ascii="Times New Roman" w:hAnsi="Times New Roman"/>
          <w:sz w:val="28"/>
          <w:szCs w:val="28"/>
        </w:rPr>
      </w:pPr>
      <w:r w:rsidRPr="00FA5209">
        <w:rPr>
          <w:rFonts w:ascii="Times New Roman" w:hAnsi="Times New Roman"/>
          <w:sz w:val="28"/>
          <w:szCs w:val="28"/>
        </w:rPr>
        <w:t xml:space="preserve">4. </w:t>
      </w:r>
      <w:r w:rsidRPr="00FA5209">
        <w:rPr>
          <w:rFonts w:ascii="Times New Roman" w:hAnsi="Times New Roman"/>
          <w:color w:val="000000"/>
          <w:sz w:val="28"/>
          <w:szCs w:val="28"/>
          <w:bdr w:val="none" w:sz="0" w:space="0" w:color="auto" w:frame="1"/>
        </w:rPr>
        <w:t xml:space="preserve">Деньги потенциальных поставщиков </w:t>
      </w:r>
      <w:r w:rsidRPr="00FA5209">
        <w:rPr>
          <w:rFonts w:ascii="Times New Roman" w:hAnsi="Times New Roman"/>
          <w:sz w:val="28"/>
          <w:szCs w:val="28"/>
        </w:rPr>
        <w:t>и (или)</w:t>
      </w:r>
      <w:r w:rsidRPr="00FA5209">
        <w:rPr>
          <w:rFonts w:ascii="Times New Roman" w:hAnsi="Times New Roman"/>
          <w:color w:val="000000"/>
          <w:sz w:val="28"/>
          <w:szCs w:val="28"/>
          <w:bdr w:val="none" w:sz="0" w:space="0" w:color="auto" w:frame="1"/>
        </w:rPr>
        <w:t xml:space="preserve"> поставщиков для пополнения электронного кошелька в качестве обеспечительных мер </w:t>
      </w:r>
      <w:r w:rsidRPr="00FA5209">
        <w:rPr>
          <w:rFonts w:ascii="Times New Roman" w:hAnsi="Times New Roman"/>
          <w:color w:val="000000"/>
          <w:sz w:val="28"/>
          <w:szCs w:val="28"/>
          <w:bdr w:val="none" w:sz="0" w:space="0" w:color="auto" w:frame="1"/>
        </w:rPr>
        <w:br/>
        <w:t xml:space="preserve">в соответствии с Законом поступают на счет, </w:t>
      </w:r>
      <w:r w:rsidRPr="00FA5209">
        <w:rPr>
          <w:rFonts w:ascii="Times New Roman" w:hAnsi="Times New Roman"/>
          <w:sz w:val="28"/>
          <w:szCs w:val="28"/>
        </w:rPr>
        <w:t>открытый в БВУ</w:t>
      </w:r>
      <w:r w:rsidRPr="00FA5209">
        <w:rPr>
          <w:rFonts w:ascii="Times New Roman" w:hAnsi="Times New Roman"/>
          <w:color w:val="000000"/>
          <w:sz w:val="28"/>
          <w:szCs w:val="28"/>
          <w:bdr w:val="none" w:sz="0" w:space="0" w:color="auto" w:frame="1"/>
        </w:rPr>
        <w:t>.</w:t>
      </w:r>
    </w:p>
    <w:p w14:paraId="6991024F" w14:textId="77777777" w:rsidR="008F5290" w:rsidRPr="00FA5209" w:rsidRDefault="008F5290" w:rsidP="008F5290">
      <w:pPr>
        <w:pStyle w:val="ab"/>
        <w:tabs>
          <w:tab w:val="left" w:pos="1134"/>
        </w:tabs>
        <w:ind w:firstLine="709"/>
        <w:jc w:val="both"/>
        <w:rPr>
          <w:rFonts w:ascii="Times New Roman" w:hAnsi="Times New Roman"/>
          <w:sz w:val="28"/>
          <w:szCs w:val="28"/>
        </w:rPr>
      </w:pPr>
      <w:r w:rsidRPr="00FA5209">
        <w:rPr>
          <w:rFonts w:ascii="Times New Roman" w:hAnsi="Times New Roman"/>
          <w:sz w:val="28"/>
          <w:szCs w:val="28"/>
        </w:rPr>
        <w:t xml:space="preserve">5. Зачисление денег на электронный кошелек производится </w:t>
      </w:r>
      <w:r w:rsidRPr="00FA5209">
        <w:rPr>
          <w:rFonts w:ascii="Times New Roman" w:hAnsi="Times New Roman"/>
          <w:sz w:val="28"/>
          <w:szCs w:val="28"/>
        </w:rPr>
        <w:br/>
        <w:t xml:space="preserve">в соответствии с указанными в платежном документе </w:t>
      </w:r>
      <w:r w:rsidRPr="00FA5209">
        <w:rPr>
          <w:rFonts w:ascii="Times New Roman" w:hAnsi="Times New Roman"/>
          <w:sz w:val="28"/>
          <w:szCs w:val="28"/>
        </w:rPr>
        <w:br/>
        <w:t xml:space="preserve">бизнес-идентификационным номером юридического лица (далее – БИН) или индивидуальным идентификационным номером физического лица </w:t>
      </w:r>
      <w:r w:rsidRPr="00FA5209">
        <w:rPr>
          <w:rFonts w:ascii="Times New Roman" w:hAnsi="Times New Roman"/>
          <w:sz w:val="28"/>
          <w:szCs w:val="28"/>
        </w:rPr>
        <w:br/>
        <w:t>(далее – ИИН).</w:t>
      </w:r>
    </w:p>
    <w:p w14:paraId="7B128D01" w14:textId="77777777" w:rsidR="008F5290" w:rsidRPr="00FA5209" w:rsidRDefault="008F5290" w:rsidP="008F5290">
      <w:pPr>
        <w:pStyle w:val="ab"/>
        <w:tabs>
          <w:tab w:val="left" w:pos="1134"/>
        </w:tabs>
        <w:ind w:firstLine="709"/>
        <w:jc w:val="both"/>
        <w:rPr>
          <w:rFonts w:ascii="Times New Roman" w:hAnsi="Times New Roman"/>
          <w:sz w:val="28"/>
          <w:szCs w:val="28"/>
        </w:rPr>
      </w:pPr>
      <w:r w:rsidRPr="00FA5209">
        <w:rPr>
          <w:rFonts w:ascii="Times New Roman" w:hAnsi="Times New Roman"/>
          <w:sz w:val="28"/>
          <w:szCs w:val="28"/>
        </w:rPr>
        <w:t xml:space="preserve">6. Потенциальные поставщики и (или) поставщики вносят деньги </w:t>
      </w:r>
      <w:r w:rsidRPr="00FA5209">
        <w:rPr>
          <w:rFonts w:ascii="Times New Roman" w:hAnsi="Times New Roman"/>
          <w:sz w:val="28"/>
          <w:szCs w:val="28"/>
        </w:rPr>
        <w:br/>
        <w:t>с указанием в платежном документе соответствующих идентификаторов отправителей платежа, реквизитов, кода назначения платежа.</w:t>
      </w:r>
    </w:p>
    <w:p w14:paraId="11B84651" w14:textId="0A9D58CE" w:rsidR="008F5290" w:rsidRPr="008B47C6" w:rsidRDefault="008F5290" w:rsidP="008F5290">
      <w:pPr>
        <w:pStyle w:val="ab"/>
        <w:tabs>
          <w:tab w:val="left" w:pos="1134"/>
        </w:tabs>
        <w:ind w:firstLine="709"/>
        <w:jc w:val="both"/>
        <w:rPr>
          <w:rFonts w:ascii="Times New Roman" w:hAnsi="Times New Roman"/>
          <w:sz w:val="28"/>
          <w:szCs w:val="28"/>
        </w:rPr>
      </w:pPr>
      <w:r w:rsidRPr="00FA5209">
        <w:rPr>
          <w:rFonts w:ascii="Times New Roman" w:hAnsi="Times New Roman"/>
          <w:sz w:val="28"/>
          <w:szCs w:val="28"/>
        </w:rPr>
        <w:t xml:space="preserve">7. </w:t>
      </w:r>
      <w:r w:rsidRPr="008B47C6">
        <w:rPr>
          <w:rFonts w:ascii="Times New Roman" w:hAnsi="Times New Roman"/>
          <w:sz w:val="28"/>
          <w:szCs w:val="28"/>
        </w:rPr>
        <w:t xml:space="preserve">Единый оператор в течение 1 (одного) рабочего дня с момента зачисления потенциальным поставщиком или поставщиком денег на счет, </w:t>
      </w:r>
      <w:r w:rsidRPr="008B47C6">
        <w:rPr>
          <w:rFonts w:ascii="Times New Roman" w:hAnsi="Times New Roman"/>
          <w:sz w:val="28"/>
          <w:szCs w:val="28"/>
        </w:rPr>
        <w:lastRenderedPageBreak/>
        <w:t xml:space="preserve">открытый в БВУ, обеспечивает </w:t>
      </w:r>
      <w:r w:rsidR="008B47C6" w:rsidRPr="008B47C6">
        <w:rPr>
          <w:rFonts w:ascii="Times New Roman" w:hAnsi="Times New Roman"/>
          <w:sz w:val="28"/>
          <w:szCs w:val="28"/>
        </w:rPr>
        <w:t xml:space="preserve">отображение зачисленной суммы </w:t>
      </w:r>
      <w:r w:rsidRPr="008B47C6">
        <w:rPr>
          <w:rFonts w:ascii="Times New Roman" w:hAnsi="Times New Roman"/>
          <w:sz w:val="28"/>
          <w:szCs w:val="28"/>
        </w:rPr>
        <w:t>в электронном кошельке потенциального поставщика и (или) поставщика и предоставляет им возможность произвести оплату в качестве обеспечительных мер в рамках Закона.</w:t>
      </w:r>
    </w:p>
    <w:p w14:paraId="656E5B14" w14:textId="77777777" w:rsidR="008F5290" w:rsidRPr="008B47C6" w:rsidRDefault="008F5290" w:rsidP="008F5290">
      <w:pPr>
        <w:pStyle w:val="ab"/>
        <w:tabs>
          <w:tab w:val="left" w:pos="1134"/>
        </w:tabs>
        <w:ind w:firstLine="709"/>
        <w:jc w:val="both"/>
        <w:rPr>
          <w:rFonts w:ascii="Times New Roman" w:hAnsi="Times New Roman"/>
          <w:sz w:val="28"/>
          <w:szCs w:val="28"/>
        </w:rPr>
      </w:pPr>
    </w:p>
    <w:p w14:paraId="55A8FD4F" w14:textId="77777777" w:rsidR="008F5290" w:rsidRPr="00FA5209" w:rsidRDefault="008F5290" w:rsidP="008F5290">
      <w:pPr>
        <w:pStyle w:val="ab"/>
        <w:tabs>
          <w:tab w:val="left" w:pos="1134"/>
        </w:tabs>
        <w:ind w:firstLine="709"/>
        <w:jc w:val="both"/>
        <w:rPr>
          <w:rFonts w:ascii="Times New Roman" w:hAnsi="Times New Roman"/>
          <w:sz w:val="28"/>
          <w:szCs w:val="28"/>
        </w:rPr>
      </w:pPr>
    </w:p>
    <w:p w14:paraId="4F0AA0E1" w14:textId="77777777" w:rsidR="008F5290" w:rsidRPr="00FA5209" w:rsidRDefault="008F5290" w:rsidP="008F5290">
      <w:pPr>
        <w:pStyle w:val="ab"/>
        <w:tabs>
          <w:tab w:val="left" w:pos="1134"/>
        </w:tabs>
        <w:ind w:firstLine="709"/>
        <w:jc w:val="center"/>
        <w:rPr>
          <w:rFonts w:ascii="Times New Roman" w:eastAsiaTheme="minorHAnsi" w:hAnsi="Times New Roman"/>
          <w:b/>
          <w:bCs/>
          <w:sz w:val="28"/>
          <w:szCs w:val="28"/>
        </w:rPr>
      </w:pPr>
      <w:r w:rsidRPr="00FA5209">
        <w:rPr>
          <w:rFonts w:ascii="Times New Roman" w:eastAsiaTheme="minorHAnsi" w:hAnsi="Times New Roman"/>
          <w:b/>
          <w:bCs/>
          <w:sz w:val="28"/>
          <w:szCs w:val="28"/>
        </w:rPr>
        <w:t xml:space="preserve">Глава 3. Порядок хранения денег в электронном кошельке </w:t>
      </w:r>
      <w:r w:rsidRPr="00FA5209">
        <w:rPr>
          <w:rFonts w:ascii="Times New Roman" w:eastAsiaTheme="minorHAnsi" w:hAnsi="Times New Roman"/>
          <w:b/>
          <w:bCs/>
          <w:sz w:val="28"/>
          <w:szCs w:val="28"/>
        </w:rPr>
        <w:br/>
        <w:t>и возврата денег с электронного кошелька</w:t>
      </w:r>
    </w:p>
    <w:p w14:paraId="65CAC821" w14:textId="77777777" w:rsidR="008F5290" w:rsidRPr="00FA5209" w:rsidRDefault="008F5290" w:rsidP="008F5290">
      <w:pPr>
        <w:pStyle w:val="ab"/>
        <w:tabs>
          <w:tab w:val="left" w:pos="1134"/>
        </w:tabs>
        <w:ind w:firstLine="709"/>
        <w:jc w:val="both"/>
        <w:rPr>
          <w:rFonts w:ascii="Times New Roman" w:hAnsi="Times New Roman"/>
          <w:color w:val="000000"/>
          <w:sz w:val="28"/>
          <w:szCs w:val="28"/>
          <w:bdr w:val="none" w:sz="0" w:space="0" w:color="auto" w:frame="1"/>
        </w:rPr>
      </w:pPr>
    </w:p>
    <w:p w14:paraId="2F6C8583" w14:textId="77777777" w:rsidR="008F5290" w:rsidRPr="00FA5209" w:rsidRDefault="008F5290" w:rsidP="008F5290">
      <w:pPr>
        <w:pStyle w:val="af1"/>
        <w:numPr>
          <w:ilvl w:val="0"/>
          <w:numId w:val="3"/>
        </w:numPr>
        <w:shd w:val="clear" w:color="auto" w:fill="FFFFFF"/>
        <w:tabs>
          <w:tab w:val="left" w:pos="1134"/>
        </w:tabs>
        <w:spacing w:before="0" w:beforeAutospacing="0" w:after="0" w:afterAutospacing="0"/>
        <w:ind w:left="0" w:firstLine="709"/>
        <w:jc w:val="both"/>
        <w:rPr>
          <w:color w:val="000000"/>
          <w:sz w:val="28"/>
          <w:szCs w:val="28"/>
          <w:bdr w:val="none" w:sz="0" w:space="0" w:color="auto" w:frame="1"/>
        </w:rPr>
      </w:pPr>
      <w:r w:rsidRPr="00FA5209">
        <w:rPr>
          <w:color w:val="000000"/>
          <w:sz w:val="28"/>
          <w:szCs w:val="28"/>
          <w:bdr w:val="none" w:sz="0" w:space="0" w:color="auto" w:frame="1"/>
        </w:rPr>
        <w:t xml:space="preserve">В целях сохранности денег потенциальных поставщиков и (или) поставщиков, находящихся в электронном кошельке, единый оператор обеспечивает их хранение на </w:t>
      </w:r>
      <w:r w:rsidRPr="00FA5209">
        <w:rPr>
          <w:sz w:val="28"/>
          <w:szCs w:val="28"/>
        </w:rPr>
        <w:t>контрольном счете наличности единого оператора, путем перечисления денег в размере не более 30 (тридцати) процентов от суммы на конец каждого месяца</w:t>
      </w:r>
      <w:r w:rsidRPr="00FA5209">
        <w:rPr>
          <w:color w:val="000000"/>
          <w:sz w:val="28"/>
          <w:szCs w:val="28"/>
          <w:bdr w:val="none" w:sz="0" w:space="0" w:color="auto" w:frame="1"/>
        </w:rPr>
        <w:t xml:space="preserve">. </w:t>
      </w:r>
    </w:p>
    <w:p w14:paraId="714ABF2A" w14:textId="77777777" w:rsidR="008F5290" w:rsidRPr="00FA5209" w:rsidRDefault="008F5290" w:rsidP="008F5290">
      <w:pPr>
        <w:pStyle w:val="af1"/>
        <w:shd w:val="clear" w:color="auto" w:fill="FFFFFF"/>
        <w:tabs>
          <w:tab w:val="left" w:pos="1134"/>
        </w:tabs>
        <w:spacing w:before="0" w:beforeAutospacing="0" w:after="0" w:afterAutospacing="0"/>
        <w:ind w:firstLine="709"/>
        <w:jc w:val="both"/>
        <w:rPr>
          <w:color w:val="000000"/>
          <w:sz w:val="28"/>
          <w:szCs w:val="28"/>
          <w:bdr w:val="none" w:sz="0" w:space="0" w:color="auto" w:frame="1"/>
        </w:rPr>
      </w:pPr>
      <w:r w:rsidRPr="00FA5209">
        <w:rPr>
          <w:color w:val="000000"/>
          <w:sz w:val="28"/>
          <w:szCs w:val="28"/>
          <w:bdr w:val="none" w:sz="0" w:space="0" w:color="auto" w:frame="1"/>
        </w:rPr>
        <w:t xml:space="preserve">Перечисление единым оператором денег для обеспечения сохранности на </w:t>
      </w:r>
      <w:r w:rsidRPr="00FA5209">
        <w:rPr>
          <w:sz w:val="28"/>
          <w:szCs w:val="28"/>
        </w:rPr>
        <w:t>контрольном счете наличности единого оператора</w:t>
      </w:r>
      <w:r w:rsidRPr="00FA5209">
        <w:rPr>
          <w:color w:val="000000"/>
          <w:sz w:val="28"/>
          <w:szCs w:val="28"/>
          <w:bdr w:val="none" w:sz="0" w:space="0" w:color="auto" w:frame="1"/>
        </w:rPr>
        <w:t>, осуществляется не позднее 10 (десятого) числа следующего месяца.</w:t>
      </w:r>
    </w:p>
    <w:p w14:paraId="5B94A086" w14:textId="53B4B869" w:rsidR="008F5290" w:rsidRPr="00FA5209" w:rsidRDefault="008F5290" w:rsidP="008F5290">
      <w:pPr>
        <w:pStyle w:val="af1"/>
        <w:numPr>
          <w:ilvl w:val="0"/>
          <w:numId w:val="3"/>
        </w:numPr>
        <w:shd w:val="clear" w:color="auto" w:fill="FFFFFF"/>
        <w:tabs>
          <w:tab w:val="left" w:pos="1134"/>
        </w:tabs>
        <w:spacing w:before="0" w:beforeAutospacing="0" w:after="0" w:afterAutospacing="0"/>
        <w:ind w:left="0" w:firstLine="709"/>
        <w:jc w:val="both"/>
        <w:rPr>
          <w:color w:val="000000"/>
          <w:sz w:val="28"/>
          <w:szCs w:val="28"/>
          <w:bdr w:val="none" w:sz="0" w:space="0" w:color="auto" w:frame="1"/>
        </w:rPr>
      </w:pPr>
      <w:r w:rsidRPr="00FA5209">
        <w:rPr>
          <w:color w:val="000000"/>
          <w:sz w:val="28"/>
          <w:szCs w:val="28"/>
          <w:bdr w:val="none" w:sz="0" w:space="0" w:color="auto" w:frame="1"/>
        </w:rPr>
        <w:t>На счет</w:t>
      </w:r>
      <w:r w:rsidR="008B47C6">
        <w:rPr>
          <w:color w:val="000000"/>
          <w:sz w:val="28"/>
          <w:szCs w:val="28"/>
          <w:bdr w:val="none" w:sz="0" w:space="0" w:color="auto" w:frame="1"/>
          <w:lang w:val="kk-KZ"/>
        </w:rPr>
        <w:t>е</w:t>
      </w:r>
      <w:r w:rsidRPr="00FA5209">
        <w:rPr>
          <w:color w:val="000000"/>
          <w:sz w:val="28"/>
          <w:szCs w:val="28"/>
          <w:bdr w:val="none" w:sz="0" w:space="0" w:color="auto" w:frame="1"/>
        </w:rPr>
        <w:t xml:space="preserve">, открытом в БВУ, остается не менее 70 (семидесяти) процентов от общей суммы денег электронного кошелька, для выполнения единым оператором операций по непрерывному и своевременному возврату денег потенциальным поставщикам и (или) поставщикам в соответствии </w:t>
      </w:r>
      <w:r w:rsidRPr="00FA5209">
        <w:rPr>
          <w:color w:val="000000"/>
          <w:sz w:val="28"/>
          <w:szCs w:val="28"/>
          <w:bdr w:val="none" w:sz="0" w:space="0" w:color="auto" w:frame="1"/>
        </w:rPr>
        <w:br/>
        <w:t xml:space="preserve">с Законом.  </w:t>
      </w:r>
    </w:p>
    <w:p w14:paraId="6FDF0EAA" w14:textId="77777777" w:rsidR="008F5290" w:rsidRPr="00FA5209" w:rsidRDefault="008F5290" w:rsidP="008F5290">
      <w:pPr>
        <w:pStyle w:val="af1"/>
        <w:numPr>
          <w:ilvl w:val="0"/>
          <w:numId w:val="3"/>
        </w:numPr>
        <w:tabs>
          <w:tab w:val="left" w:pos="1134"/>
        </w:tabs>
        <w:spacing w:before="0" w:beforeAutospacing="0" w:after="0" w:afterAutospacing="0"/>
        <w:ind w:left="0" w:firstLine="709"/>
        <w:jc w:val="both"/>
        <w:rPr>
          <w:color w:val="000000"/>
          <w:sz w:val="28"/>
          <w:szCs w:val="28"/>
          <w:bdr w:val="none" w:sz="0" w:space="0" w:color="auto" w:frame="1"/>
        </w:rPr>
      </w:pPr>
      <w:r w:rsidRPr="00FA5209">
        <w:rPr>
          <w:color w:val="000000"/>
          <w:sz w:val="28"/>
          <w:szCs w:val="28"/>
          <w:bdr w:val="none" w:sz="0" w:space="0" w:color="auto" w:frame="1"/>
        </w:rPr>
        <w:t xml:space="preserve">Деньги, находящиеся на </w:t>
      </w:r>
      <w:r w:rsidRPr="00FA5209">
        <w:rPr>
          <w:sz w:val="28"/>
          <w:szCs w:val="28"/>
        </w:rPr>
        <w:t>контрольном счете наличности единого оператора</w:t>
      </w:r>
      <w:r w:rsidRPr="00FA5209">
        <w:rPr>
          <w:color w:val="000000"/>
          <w:sz w:val="28"/>
          <w:szCs w:val="28"/>
          <w:bdr w:val="none" w:sz="0" w:space="0" w:color="auto" w:frame="1"/>
        </w:rPr>
        <w:t xml:space="preserve">, хранятся до востребования единым оператором по заявке потенциального поставщика и (или) поставщика. </w:t>
      </w:r>
    </w:p>
    <w:p w14:paraId="5B4295BA" w14:textId="42B80947" w:rsidR="008F5290" w:rsidRPr="00FA5209" w:rsidRDefault="008F5290" w:rsidP="008F5290">
      <w:pPr>
        <w:pStyle w:val="af1"/>
        <w:numPr>
          <w:ilvl w:val="0"/>
          <w:numId w:val="3"/>
        </w:numPr>
        <w:tabs>
          <w:tab w:val="left" w:pos="1134"/>
        </w:tabs>
        <w:spacing w:before="0" w:beforeAutospacing="0" w:after="0" w:afterAutospacing="0"/>
        <w:ind w:left="0" w:firstLine="709"/>
        <w:jc w:val="both"/>
        <w:rPr>
          <w:color w:val="000000"/>
          <w:sz w:val="28"/>
          <w:szCs w:val="28"/>
          <w:bdr w:val="none" w:sz="0" w:space="0" w:color="auto" w:frame="1"/>
        </w:rPr>
      </w:pPr>
      <w:r w:rsidRPr="008B47C6">
        <w:rPr>
          <w:color w:val="000000"/>
          <w:sz w:val="28"/>
          <w:szCs w:val="28"/>
          <w:bdr w:val="none" w:sz="0" w:space="0" w:color="auto" w:frame="1"/>
        </w:rPr>
        <w:t xml:space="preserve">Не </w:t>
      </w:r>
      <w:r w:rsidR="008B47C6" w:rsidRPr="008B47C6">
        <w:rPr>
          <w:color w:val="000000"/>
          <w:sz w:val="28"/>
          <w:szCs w:val="28"/>
          <w:bdr w:val="none" w:sz="0" w:space="0" w:color="auto" w:frame="1"/>
        </w:rPr>
        <w:t>совершается действие</w:t>
      </w:r>
      <w:r w:rsidR="008B47C6">
        <w:rPr>
          <w:color w:val="000000"/>
          <w:sz w:val="28"/>
          <w:szCs w:val="28"/>
          <w:bdr w:val="none" w:sz="0" w:space="0" w:color="auto" w:frame="1"/>
          <w:lang w:val="kk-KZ"/>
        </w:rPr>
        <w:t xml:space="preserve"> </w:t>
      </w:r>
      <w:r w:rsidRPr="00FA5209">
        <w:rPr>
          <w:color w:val="000000"/>
          <w:sz w:val="28"/>
          <w:szCs w:val="28"/>
          <w:bdr w:val="none" w:sz="0" w:space="0" w:color="auto" w:frame="1"/>
        </w:rPr>
        <w:t xml:space="preserve">допускается совершение потенциальным поставщиком и (или) поставщиком действий, приводящих к возникновению </w:t>
      </w:r>
      <w:r w:rsidR="0021631E">
        <w:rPr>
          <w:color w:val="000000"/>
          <w:sz w:val="28"/>
          <w:szCs w:val="28"/>
          <w:bdr w:val="none" w:sz="0" w:space="0" w:color="auto" w:frame="1"/>
        </w:rPr>
        <w:br/>
      </w:r>
      <w:r w:rsidRPr="00FA5209">
        <w:rPr>
          <w:color w:val="000000"/>
          <w:sz w:val="28"/>
          <w:szCs w:val="28"/>
          <w:bdr w:val="none" w:sz="0" w:space="0" w:color="auto" w:frame="1"/>
        </w:rPr>
        <w:t>у третьих лиц права требования</w:t>
      </w:r>
      <w:r w:rsidR="008B47C6">
        <w:rPr>
          <w:color w:val="000000"/>
          <w:sz w:val="28"/>
          <w:szCs w:val="28"/>
          <w:bdr w:val="none" w:sz="0" w:space="0" w:color="auto" w:frame="1"/>
          <w:lang w:val="kk-KZ"/>
        </w:rPr>
        <w:t xml:space="preserve"> </w:t>
      </w:r>
      <w:r w:rsidRPr="00FA5209">
        <w:rPr>
          <w:color w:val="000000"/>
          <w:sz w:val="28"/>
          <w:szCs w:val="28"/>
          <w:bdr w:val="none" w:sz="0" w:space="0" w:color="auto" w:frame="1"/>
        </w:rPr>
        <w:t>денег, находящихся в электронном кошельке.</w:t>
      </w:r>
    </w:p>
    <w:p w14:paraId="2476F815" w14:textId="0BEA9FA1" w:rsidR="008F5290" w:rsidRPr="00137CA9" w:rsidRDefault="008F5290" w:rsidP="008F5290">
      <w:pPr>
        <w:pStyle w:val="af1"/>
        <w:tabs>
          <w:tab w:val="left" w:pos="1134"/>
        </w:tabs>
        <w:spacing w:before="0" w:beforeAutospacing="0" w:after="0" w:afterAutospacing="0"/>
        <w:ind w:firstLine="709"/>
        <w:jc w:val="both"/>
        <w:rPr>
          <w:color w:val="000000"/>
          <w:sz w:val="28"/>
          <w:szCs w:val="28"/>
          <w:bdr w:val="none" w:sz="0" w:space="0" w:color="auto" w:frame="1"/>
        </w:rPr>
      </w:pPr>
      <w:r w:rsidRPr="00FA5209">
        <w:rPr>
          <w:color w:val="000000"/>
          <w:sz w:val="28"/>
          <w:szCs w:val="28"/>
          <w:bdr w:val="none" w:sz="0" w:space="0" w:color="auto" w:frame="1"/>
        </w:rPr>
        <w:t xml:space="preserve">12. </w:t>
      </w:r>
      <w:r w:rsidRPr="00137CA9">
        <w:rPr>
          <w:color w:val="000000"/>
          <w:sz w:val="28"/>
          <w:szCs w:val="28"/>
          <w:bdr w:val="none" w:sz="0" w:space="0" w:color="auto" w:frame="1"/>
        </w:rPr>
        <w:t xml:space="preserve">Возврат денег с электронного кошелька выполняется единым оператором по заявкам потенциальных поставщиков и (или) поставщиков </w:t>
      </w:r>
      <w:r w:rsidRPr="00137CA9">
        <w:rPr>
          <w:color w:val="000000"/>
          <w:sz w:val="28"/>
          <w:szCs w:val="28"/>
          <w:bdr w:val="none" w:sz="0" w:space="0" w:color="auto" w:frame="1"/>
        </w:rPr>
        <w:br/>
        <w:t xml:space="preserve">в </w:t>
      </w:r>
      <w:r w:rsidR="00137CA9" w:rsidRPr="00137CA9">
        <w:rPr>
          <w:color w:val="000000"/>
          <w:sz w:val="28"/>
          <w:szCs w:val="28"/>
          <w:bdr w:val="none" w:sz="0" w:space="0" w:color="auto" w:frame="1"/>
        </w:rPr>
        <w:t>течение трех рабочих дней.</w:t>
      </w:r>
    </w:p>
    <w:p w14:paraId="03180C9B" w14:textId="77777777" w:rsidR="008F5290" w:rsidRPr="00FA5209" w:rsidRDefault="008F5290" w:rsidP="008F5290">
      <w:pPr>
        <w:pStyle w:val="af1"/>
        <w:tabs>
          <w:tab w:val="left" w:pos="1134"/>
        </w:tabs>
        <w:spacing w:before="0" w:beforeAutospacing="0" w:after="0" w:afterAutospacing="0"/>
        <w:ind w:firstLine="709"/>
        <w:jc w:val="both"/>
        <w:rPr>
          <w:color w:val="000000"/>
          <w:sz w:val="28"/>
          <w:szCs w:val="28"/>
          <w:bdr w:val="none" w:sz="0" w:space="0" w:color="auto" w:frame="1"/>
        </w:rPr>
      </w:pPr>
      <w:r w:rsidRPr="00FA5209">
        <w:rPr>
          <w:color w:val="000000"/>
          <w:sz w:val="28"/>
          <w:szCs w:val="28"/>
          <w:bdr w:val="none" w:sz="0" w:space="0" w:color="auto" w:frame="1"/>
        </w:rPr>
        <w:t xml:space="preserve">13. В случае недостаточности денег на </w:t>
      </w:r>
      <w:r w:rsidRPr="00FA5209">
        <w:rPr>
          <w:sz w:val="28"/>
          <w:szCs w:val="28"/>
        </w:rPr>
        <w:t>счете, открытом в БВУ,</w:t>
      </w:r>
      <w:r w:rsidRPr="00FA5209">
        <w:rPr>
          <w:color w:val="000000"/>
          <w:sz w:val="28"/>
          <w:szCs w:val="28"/>
          <w:bdr w:val="none" w:sz="0" w:space="0" w:color="auto" w:frame="1"/>
        </w:rPr>
        <w:t xml:space="preserve"> для возврата потенциальным поставщикам и (или) поставщикам, единый оператор не позднее 1 (одного) рабочего дня со дня поступления заявки от потенциального поставщика и (или) поставщика на возврат денег из электронного кошелька, направляет в орган </w:t>
      </w:r>
      <w:r w:rsidRPr="00FA5209">
        <w:rPr>
          <w:color w:val="000000"/>
          <w:spacing w:val="2"/>
          <w:sz w:val="28"/>
          <w:szCs w:val="28"/>
          <w:shd w:val="clear" w:color="auto" w:fill="FFFFFF"/>
        </w:rPr>
        <w:t xml:space="preserve">государственного казначейства </w:t>
      </w:r>
      <w:r w:rsidRPr="00FA5209">
        <w:rPr>
          <w:color w:val="000000"/>
          <w:sz w:val="28"/>
          <w:szCs w:val="28"/>
          <w:bdr w:val="none" w:sz="0" w:space="0" w:color="auto" w:frame="1"/>
        </w:rPr>
        <w:t xml:space="preserve">платежное поручение на перевод денег, хранящихся на </w:t>
      </w:r>
      <w:r w:rsidRPr="00FA5209">
        <w:rPr>
          <w:sz w:val="28"/>
          <w:szCs w:val="28"/>
        </w:rPr>
        <w:t>контрольном счете наличности единого оператора</w:t>
      </w:r>
      <w:r w:rsidRPr="00FA5209">
        <w:rPr>
          <w:color w:val="000000"/>
          <w:sz w:val="28"/>
          <w:szCs w:val="28"/>
          <w:bdr w:val="none" w:sz="0" w:space="0" w:color="auto" w:frame="1"/>
        </w:rPr>
        <w:t>.</w:t>
      </w:r>
    </w:p>
    <w:p w14:paraId="6ABB6231" w14:textId="01524D68" w:rsidR="00F353C9" w:rsidRPr="00FA5209" w:rsidRDefault="008F5290" w:rsidP="00A61E50">
      <w:pPr>
        <w:pStyle w:val="ab"/>
        <w:tabs>
          <w:tab w:val="left" w:pos="1134"/>
        </w:tabs>
        <w:ind w:firstLine="709"/>
        <w:jc w:val="both"/>
        <w:rPr>
          <w:sz w:val="28"/>
          <w:szCs w:val="28"/>
        </w:rPr>
      </w:pPr>
      <w:r w:rsidRPr="00FA5209">
        <w:rPr>
          <w:rFonts w:ascii="Times New Roman" w:hAnsi="Times New Roman"/>
          <w:color w:val="000000"/>
          <w:sz w:val="28"/>
          <w:szCs w:val="28"/>
          <w:bdr w:val="none" w:sz="0" w:space="0" w:color="auto" w:frame="1"/>
        </w:rPr>
        <w:t xml:space="preserve">Орган </w:t>
      </w:r>
      <w:r w:rsidRPr="00FA5209">
        <w:rPr>
          <w:rFonts w:ascii="Times New Roman" w:hAnsi="Times New Roman"/>
          <w:color w:val="000000"/>
          <w:spacing w:val="2"/>
          <w:sz w:val="28"/>
          <w:szCs w:val="28"/>
          <w:shd w:val="clear" w:color="auto" w:fill="FFFFFF"/>
        </w:rPr>
        <w:t xml:space="preserve">государственного казначейства в </w:t>
      </w:r>
      <w:r w:rsidRPr="00FA5209">
        <w:rPr>
          <w:rFonts w:ascii="Times New Roman" w:hAnsi="Times New Roman"/>
          <w:color w:val="000000"/>
          <w:sz w:val="28"/>
          <w:szCs w:val="28"/>
          <w:bdr w:val="none" w:sz="0" w:space="0" w:color="auto" w:frame="1"/>
        </w:rPr>
        <w:t xml:space="preserve">течение 3 (трех) рабочих дней со дня получения платежного поручения выполняет перечисление запрашиваемой суммы с </w:t>
      </w:r>
      <w:r w:rsidRPr="00FA5209">
        <w:rPr>
          <w:rFonts w:ascii="Times New Roman" w:hAnsi="Times New Roman"/>
          <w:sz w:val="28"/>
          <w:szCs w:val="28"/>
        </w:rPr>
        <w:t xml:space="preserve">контрольного счета наличности единого оператора, </w:t>
      </w:r>
      <w:r w:rsidRPr="00FA5209">
        <w:rPr>
          <w:rFonts w:ascii="Times New Roman" w:hAnsi="Times New Roman"/>
          <w:color w:val="000000"/>
          <w:sz w:val="28"/>
          <w:szCs w:val="28"/>
          <w:bdr w:val="none" w:sz="0" w:space="0" w:color="auto" w:frame="1"/>
        </w:rPr>
        <w:t>на счет, открытый в БВУ.</w:t>
      </w:r>
    </w:p>
    <w:sectPr w:rsidR="00F353C9" w:rsidRPr="00FA5209" w:rsidSect="0021631E">
      <w:headerReference w:type="default" r:id="rId9"/>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CEDB9" w14:textId="77777777" w:rsidR="006C4B99" w:rsidRDefault="006C4B99" w:rsidP="00D32C98">
      <w:r>
        <w:separator/>
      </w:r>
    </w:p>
  </w:endnote>
  <w:endnote w:type="continuationSeparator" w:id="0">
    <w:p w14:paraId="7BF3608D" w14:textId="77777777" w:rsidR="006C4B99" w:rsidRDefault="006C4B99"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0DECA" w14:textId="77777777" w:rsidR="006C4B99" w:rsidRDefault="006C4B99" w:rsidP="00D32C98">
      <w:r>
        <w:separator/>
      </w:r>
    </w:p>
  </w:footnote>
  <w:footnote w:type="continuationSeparator" w:id="0">
    <w:p w14:paraId="1EDA5525" w14:textId="77777777" w:rsidR="006C4B99" w:rsidRDefault="006C4B99"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4693596"/>
      <w:docPartObj>
        <w:docPartGallery w:val="Page Numbers (Top of Page)"/>
        <w:docPartUnique/>
      </w:docPartObj>
    </w:sdtPr>
    <w:sdtContent>
      <w:p w14:paraId="55678A52" w14:textId="24F65408" w:rsidR="0021631E" w:rsidRDefault="0021631E">
        <w:pPr>
          <w:pStyle w:val="ad"/>
          <w:jc w:val="center"/>
        </w:pPr>
        <w:r>
          <w:fldChar w:fldCharType="begin"/>
        </w:r>
        <w:r>
          <w:instrText>PAGE   \* MERGEFORMAT</w:instrText>
        </w:r>
        <w:r>
          <w:fldChar w:fldCharType="separate"/>
        </w:r>
        <w:r>
          <w:t>2</w:t>
        </w:r>
        <w:r>
          <w:fldChar w:fldCharType="end"/>
        </w:r>
      </w:p>
    </w:sdtContent>
  </w:sdt>
  <w:p w14:paraId="1ED6868E" w14:textId="77777777" w:rsidR="00D32C98" w:rsidRDefault="00D32C9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060D4"/>
    <w:multiLevelType w:val="hybridMultilevel"/>
    <w:tmpl w:val="0A6ADE42"/>
    <w:lvl w:ilvl="0" w:tplc="65889920">
      <w:start w:val="8"/>
      <w:numFmt w:val="decimal"/>
      <w:lvlText w:val="%1."/>
      <w:lvlJc w:val="left"/>
      <w:pPr>
        <w:ind w:left="1070" w:hanging="360"/>
      </w:pPr>
      <w:rPr>
        <w:rFonts w:hint="default"/>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1" w15:restartNumberingAfterBreak="0">
    <w:nsid w:val="26315991"/>
    <w:multiLevelType w:val="hybridMultilevel"/>
    <w:tmpl w:val="FF64269E"/>
    <w:lvl w:ilvl="0" w:tplc="42E816D2">
      <w:start w:val="1"/>
      <w:numFmt w:val="decimal"/>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6EF0B5E"/>
    <w:multiLevelType w:val="hybridMultilevel"/>
    <w:tmpl w:val="DA70AE14"/>
    <w:lvl w:ilvl="0" w:tplc="A4D2B80C">
      <w:start w:val="1"/>
      <w:numFmt w:val="decimal"/>
      <w:lvlText w:val="%1."/>
      <w:lvlJc w:val="left"/>
      <w:pPr>
        <w:ind w:left="1211" w:hanging="360"/>
      </w:pPr>
      <w:rPr>
        <w:rFonts w:ascii="Times New Roman" w:hAnsi="Times New Roman" w:cs="Times New Roman"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412A4"/>
    <w:rsid w:val="00066418"/>
    <w:rsid w:val="00076E37"/>
    <w:rsid w:val="000A1261"/>
    <w:rsid w:val="000B4C79"/>
    <w:rsid w:val="000D68F9"/>
    <w:rsid w:val="000E2715"/>
    <w:rsid w:val="00137CA9"/>
    <w:rsid w:val="00140807"/>
    <w:rsid w:val="001416AD"/>
    <w:rsid w:val="00143902"/>
    <w:rsid w:val="00196968"/>
    <w:rsid w:val="001C23DA"/>
    <w:rsid w:val="001D77C7"/>
    <w:rsid w:val="001F40BE"/>
    <w:rsid w:val="0021631E"/>
    <w:rsid w:val="00224E2D"/>
    <w:rsid w:val="0026048B"/>
    <w:rsid w:val="0027137E"/>
    <w:rsid w:val="002B0FB8"/>
    <w:rsid w:val="002C0D62"/>
    <w:rsid w:val="002C7CE4"/>
    <w:rsid w:val="002D0978"/>
    <w:rsid w:val="002D4515"/>
    <w:rsid w:val="002E524A"/>
    <w:rsid w:val="00305095"/>
    <w:rsid w:val="00321F98"/>
    <w:rsid w:val="00380A66"/>
    <w:rsid w:val="003A07B6"/>
    <w:rsid w:val="003A6957"/>
    <w:rsid w:val="003C4E93"/>
    <w:rsid w:val="003E0D01"/>
    <w:rsid w:val="003E2256"/>
    <w:rsid w:val="00441F18"/>
    <w:rsid w:val="00487832"/>
    <w:rsid w:val="00497B87"/>
    <w:rsid w:val="004E7CA6"/>
    <w:rsid w:val="005109DB"/>
    <w:rsid w:val="00545BAC"/>
    <w:rsid w:val="005B31D2"/>
    <w:rsid w:val="005C767A"/>
    <w:rsid w:val="00602196"/>
    <w:rsid w:val="00663319"/>
    <w:rsid w:val="00664407"/>
    <w:rsid w:val="006B58BB"/>
    <w:rsid w:val="006C4B99"/>
    <w:rsid w:val="007507FB"/>
    <w:rsid w:val="007E70EF"/>
    <w:rsid w:val="007F2938"/>
    <w:rsid w:val="00856C69"/>
    <w:rsid w:val="008641C5"/>
    <w:rsid w:val="008826D8"/>
    <w:rsid w:val="0088729B"/>
    <w:rsid w:val="008B02DE"/>
    <w:rsid w:val="008B47C6"/>
    <w:rsid w:val="008C137B"/>
    <w:rsid w:val="008F5290"/>
    <w:rsid w:val="00933081"/>
    <w:rsid w:val="0099366C"/>
    <w:rsid w:val="009A167A"/>
    <w:rsid w:val="009D3984"/>
    <w:rsid w:val="009E1175"/>
    <w:rsid w:val="00A61E50"/>
    <w:rsid w:val="00AC64C6"/>
    <w:rsid w:val="00B5779B"/>
    <w:rsid w:val="00B86304"/>
    <w:rsid w:val="00BC247D"/>
    <w:rsid w:val="00BC6A6C"/>
    <w:rsid w:val="00BD06F4"/>
    <w:rsid w:val="00D32C98"/>
    <w:rsid w:val="00D421C9"/>
    <w:rsid w:val="00D62A1A"/>
    <w:rsid w:val="00DA4A09"/>
    <w:rsid w:val="00E44A7D"/>
    <w:rsid w:val="00E827A3"/>
    <w:rsid w:val="00ED27E8"/>
    <w:rsid w:val="00F353C9"/>
    <w:rsid w:val="00F67EDA"/>
    <w:rsid w:val="00F833FE"/>
    <w:rsid w:val="00FA5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paragraph" w:styleId="af5">
    <w:name w:val="List Paragraph"/>
    <w:basedOn w:val="a"/>
    <w:qFormat/>
    <w:rsid w:val="008F5290"/>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210000004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F5006-0A6D-4767-B9E6-F4E8A7F73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1042</Words>
  <Characters>5943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Искакова Асем Бакыткызы</cp:lastModifiedBy>
  <cp:revision>23</cp:revision>
  <dcterms:created xsi:type="dcterms:W3CDTF">2025-05-26T11:37:00Z</dcterms:created>
  <dcterms:modified xsi:type="dcterms:W3CDTF">2025-05-29T05:58:00Z</dcterms:modified>
</cp:coreProperties>
</file>